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before="78" w:beforeLines="25" w:after="0" w:line="440" w:lineRule="exact"/>
        <w:jc w:val="center"/>
        <w:rPr>
          <w:rFonts w:hint="default" w:ascii="Times New Roman" w:hAnsi="Times New Roman" w:eastAsia="黑体" w:cs="Times New Roman"/>
          <w:b w:val="0"/>
          <w:bCs w:val="0"/>
          <w:sz w:val="40"/>
          <w:szCs w:val="40"/>
          <w:lang w:val="en-US" w:eastAsia="zh-CN"/>
        </w:rPr>
      </w:pPr>
      <w:r>
        <w:rPr>
          <w:rFonts w:hint="eastAsia" w:ascii="Times New Roman" w:hAnsi="Times New Roman" w:cs="Times New Roman"/>
          <w:b w:val="0"/>
          <w:bCs w:val="0"/>
          <w:sz w:val="40"/>
          <w:szCs w:val="40"/>
          <w:lang w:val="en-US" w:eastAsia="zh-CN"/>
        </w:rPr>
        <w:t>河南富泉环境科技有限公司</w:t>
      </w:r>
    </w:p>
    <w:p>
      <w:pPr>
        <w:pStyle w:val="6"/>
        <w:adjustRightInd w:val="0"/>
        <w:snapToGrid w:val="0"/>
        <w:spacing w:before="78" w:beforeLines="25" w:after="0" w:line="440" w:lineRule="exact"/>
        <w:jc w:val="center"/>
        <w:rPr>
          <w:rFonts w:hint="default" w:ascii="Times New Roman" w:hAnsi="Times New Roman" w:cs="Times New Roman"/>
          <w:b w:val="0"/>
          <w:bCs w:val="0"/>
          <w:sz w:val="40"/>
          <w:szCs w:val="40"/>
        </w:rPr>
      </w:pPr>
      <w:r>
        <w:rPr>
          <w:rFonts w:hint="default" w:ascii="Times New Roman" w:hAnsi="Times New Roman" w:cs="Times New Roman"/>
          <w:b w:val="0"/>
          <w:bCs w:val="0"/>
          <w:sz w:val="40"/>
          <w:szCs w:val="40"/>
        </w:rPr>
        <w:t>危险废物处置设施运行污染防治情况</w:t>
      </w:r>
    </w:p>
    <w:p>
      <w:pPr>
        <w:rPr>
          <w:rFonts w:hint="default" w:ascii="Times New Roman" w:hAnsi="Times New Roman" w:cs="Times New Roman"/>
          <w:sz w:val="32"/>
          <w:szCs w:val="40"/>
          <w:lang w:val="en-US" w:eastAsia="zh-CN"/>
        </w:rPr>
      </w:pPr>
    </w:p>
    <w:p>
      <w:pPr>
        <w:pStyle w:val="3"/>
        <w:numPr>
          <w:numId w:val="0"/>
        </w:numPr>
        <w:ind w:leftChars="0"/>
        <w:jc w:val="both"/>
        <w:rPr>
          <w:rFonts w:hint="default" w:ascii="Times New Roman" w:hAnsi="Times New Roman" w:eastAsia="宋体" w:cs="Times New Roman"/>
          <w:b/>
          <w:bCs w:val="0"/>
          <w:sz w:val="28"/>
          <w:szCs w:val="28"/>
          <w:lang w:val="en-US" w:eastAsia="zh-CN"/>
        </w:rPr>
      </w:pPr>
      <w:r>
        <w:rPr>
          <w:rFonts w:hint="eastAsia" w:ascii="Times New Roman" w:hAnsi="Times New Roman" w:eastAsia="宋体" w:cs="Times New Roman"/>
          <w:b/>
          <w:bCs w:val="0"/>
          <w:sz w:val="28"/>
          <w:szCs w:val="28"/>
          <w:lang w:val="en-US" w:eastAsia="zh-CN"/>
        </w:rPr>
        <w:t>一、单位信息公开</w:t>
      </w:r>
    </w:p>
    <w:p>
      <w:pPr>
        <w:pStyle w:val="2"/>
        <w:jc w:val="center"/>
        <w:rPr>
          <w:rFonts w:hint="default" w:cs="Times New Roman"/>
          <w:sz w:val="32"/>
          <w:szCs w:val="40"/>
          <w:lang w:val="en-US" w:eastAsia="zh-CN"/>
        </w:rPr>
      </w:pPr>
      <w:r>
        <w:rPr>
          <w:rFonts w:hint="default" w:cs="Times New Roman"/>
          <w:sz w:val="32"/>
          <w:szCs w:val="40"/>
          <w:lang w:val="en-US" w:eastAsia="zh-CN"/>
        </w:rPr>
        <w:drawing>
          <wp:inline distT="0" distB="0" distL="114300" distR="114300">
            <wp:extent cx="5149215" cy="7079615"/>
            <wp:effectExtent l="0" t="0" r="13335" b="6985"/>
            <wp:docPr id="1" name="图片 1" descr="82fd7895c4e723fe0de61c68cc51b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2fd7895c4e723fe0de61c68cc51b69"/>
                    <pic:cNvPicPr>
                      <a:picLocks noChangeAspect="1"/>
                    </pic:cNvPicPr>
                  </pic:nvPicPr>
                  <pic:blipFill>
                    <a:blip r:embed="rId4"/>
                    <a:srcRect l="1937" t="8824" r="3228" b="11192"/>
                    <a:stretch>
                      <a:fillRect/>
                    </a:stretch>
                  </pic:blipFill>
                  <pic:spPr>
                    <a:xfrm>
                      <a:off x="0" y="0"/>
                      <a:ext cx="5149215" cy="7079615"/>
                    </a:xfrm>
                    <a:prstGeom prst="rect">
                      <a:avLst/>
                    </a:prstGeom>
                  </pic:spPr>
                </pic:pic>
              </a:graphicData>
            </a:graphic>
          </wp:inline>
        </w:drawing>
      </w:r>
    </w:p>
    <w:p>
      <w:pPr>
        <w:pStyle w:val="3"/>
        <w:numPr>
          <w:numId w:val="0"/>
        </w:numPr>
        <w:ind w:leftChars="0"/>
        <w:jc w:val="both"/>
        <w:rPr>
          <w:rFonts w:hint="default" w:ascii="Times New Roman" w:hAnsi="Times New Roman" w:eastAsia="宋体" w:cs="Times New Roman"/>
          <w:b/>
          <w:bCs w:val="0"/>
          <w:sz w:val="28"/>
          <w:szCs w:val="28"/>
          <w:lang w:val="en-US" w:eastAsia="zh-CN"/>
        </w:rPr>
      </w:pPr>
      <w:r>
        <w:rPr>
          <w:rFonts w:hint="eastAsia" w:eastAsia="宋体" w:cs="Times New Roman"/>
          <w:b/>
          <w:bCs w:val="0"/>
          <w:sz w:val="28"/>
          <w:szCs w:val="28"/>
          <w:lang w:val="en-US" w:eastAsia="zh-CN"/>
        </w:rPr>
        <w:t>二、</w:t>
      </w:r>
      <w:r>
        <w:rPr>
          <w:rFonts w:hint="default" w:ascii="Times New Roman" w:hAnsi="Times New Roman" w:eastAsia="宋体" w:cs="Times New Roman"/>
          <w:b/>
          <w:bCs w:val="0"/>
          <w:sz w:val="28"/>
          <w:szCs w:val="28"/>
          <w:lang w:val="en-US" w:eastAsia="zh-CN"/>
        </w:rPr>
        <w:t>规范化环境管理考核情况</w:t>
      </w:r>
    </w:p>
    <w:p>
      <w:pPr>
        <w:numPr>
          <w:numId w:val="0"/>
        </w:numPr>
        <w:ind w:leftChars="0" w:firstLine="560" w:firstLineChars="200"/>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我公司在运行过程中对危废管理方面更加重视，加大管理力度，对公司员工定期开展危险废物相关知识及规范化管理培训，严格按照相关法律法规及相关标准进行全过程管理，针对相关部门在规范化环境管理考核中提出的问题落实到位。</w:t>
      </w:r>
    </w:p>
    <w:p>
      <w:pPr>
        <w:numPr>
          <w:numId w:val="0"/>
        </w:numPr>
        <w:ind w:leftChars="0"/>
        <w:rPr>
          <w:rFonts w:hint="default" w:ascii="Times New Roman" w:hAnsi="Times New Roman" w:eastAsia="黑体" w:cs="Times New Roman"/>
          <w:b w:val="0"/>
          <w:bCs w:val="0"/>
          <w:kern w:val="2"/>
          <w:sz w:val="28"/>
          <w:szCs w:val="28"/>
          <w:lang w:val="en-US" w:eastAsia="zh-CN" w:bidi="ar-SA"/>
        </w:rPr>
      </w:pPr>
      <w:r>
        <w:rPr>
          <w:rFonts w:hint="eastAsia" w:eastAsia="黑体" w:cs="Times New Roman"/>
          <w:b w:val="0"/>
          <w:bCs w:val="0"/>
          <w:kern w:val="2"/>
          <w:sz w:val="28"/>
          <w:szCs w:val="28"/>
          <w:lang w:val="en-US" w:eastAsia="zh-CN" w:bidi="ar-SA"/>
        </w:rPr>
        <w:t>三、</w:t>
      </w:r>
      <w:r>
        <w:rPr>
          <w:rFonts w:hint="default" w:ascii="Times New Roman" w:hAnsi="Times New Roman" w:eastAsia="黑体" w:cs="Times New Roman"/>
          <w:b w:val="0"/>
          <w:bCs w:val="0"/>
          <w:kern w:val="2"/>
          <w:sz w:val="28"/>
          <w:szCs w:val="28"/>
          <w:lang w:val="en-US" w:eastAsia="zh-CN" w:bidi="ar-SA"/>
        </w:rPr>
        <w:t>污染物排放监测情况</w:t>
      </w:r>
    </w:p>
    <w:p>
      <w:pPr>
        <w:numPr>
          <w:ilvl w:val="0"/>
          <w:numId w:val="0"/>
        </w:numPr>
        <w:spacing w:line="360" w:lineRule="auto"/>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我公司</w:t>
      </w:r>
      <w:r>
        <w:rPr>
          <w:rFonts w:hint="eastAsia" w:cs="Times New Roman"/>
          <w:sz w:val="28"/>
          <w:szCs w:val="28"/>
          <w:lang w:val="en-US" w:eastAsia="zh-CN"/>
        </w:rPr>
        <w:t>严格按照</w:t>
      </w:r>
      <w:r>
        <w:rPr>
          <w:rFonts w:ascii="宋体" w:hAnsi="宋体"/>
          <w:sz w:val="28"/>
          <w:szCs w:val="28"/>
        </w:rPr>
        <w:t>《</w:t>
      </w:r>
      <w:r>
        <w:rPr>
          <w:rFonts w:hint="eastAsia" w:ascii="宋体" w:hAnsi="宋体"/>
          <w:sz w:val="28"/>
          <w:szCs w:val="28"/>
        </w:rPr>
        <w:t>大气污染物综合</w:t>
      </w:r>
      <w:r>
        <w:rPr>
          <w:rFonts w:ascii="宋体" w:hAnsi="宋体"/>
          <w:sz w:val="28"/>
          <w:szCs w:val="28"/>
        </w:rPr>
        <w:t>排放标准》（GB</w:t>
      </w:r>
      <w:r>
        <w:rPr>
          <w:rFonts w:hint="eastAsia" w:ascii="宋体" w:hAnsi="宋体"/>
          <w:sz w:val="28"/>
          <w:szCs w:val="28"/>
        </w:rPr>
        <w:t>16297</w:t>
      </w:r>
      <w:r>
        <w:rPr>
          <w:rFonts w:ascii="宋体" w:hAnsi="宋体"/>
          <w:sz w:val="28"/>
          <w:szCs w:val="28"/>
        </w:rPr>
        <w:t>—</w:t>
      </w:r>
      <w:r>
        <w:rPr>
          <w:rFonts w:hint="eastAsia" w:ascii="宋体" w:hAnsi="宋体"/>
          <w:sz w:val="28"/>
          <w:szCs w:val="28"/>
        </w:rPr>
        <w:t>1996</w:t>
      </w:r>
      <w:r>
        <w:rPr>
          <w:rFonts w:ascii="宋体" w:hAnsi="宋体"/>
          <w:sz w:val="28"/>
          <w:szCs w:val="28"/>
        </w:rPr>
        <w:t>）</w:t>
      </w:r>
      <w:r>
        <w:rPr>
          <w:rFonts w:hint="eastAsia" w:ascii="宋体" w:hAnsi="宋体"/>
          <w:sz w:val="28"/>
          <w:szCs w:val="28"/>
        </w:rPr>
        <w:t>、《恶臭污染物排放标准》</w:t>
      </w:r>
      <w:r>
        <w:rPr>
          <w:rFonts w:hint="eastAsia" w:ascii="宋体" w:hAnsi="宋体"/>
          <w:sz w:val="28"/>
          <w:szCs w:val="28"/>
          <w:lang w:eastAsia="zh-CN"/>
        </w:rPr>
        <w:t>（</w:t>
      </w:r>
      <w:r>
        <w:rPr>
          <w:rFonts w:hint="eastAsia" w:ascii="宋体" w:hAnsi="宋体"/>
          <w:sz w:val="28"/>
          <w:szCs w:val="28"/>
        </w:rPr>
        <w:t>GB14554-93</w:t>
      </w:r>
      <w:r>
        <w:rPr>
          <w:rFonts w:hint="eastAsia" w:ascii="宋体" w:hAnsi="宋体"/>
          <w:sz w:val="28"/>
          <w:szCs w:val="28"/>
          <w:lang w:eastAsia="zh-CN"/>
        </w:rPr>
        <w:t>）</w:t>
      </w:r>
      <w:r>
        <w:rPr>
          <w:rFonts w:hint="eastAsia" w:ascii="宋体" w:hAnsi="宋体"/>
          <w:sz w:val="28"/>
          <w:szCs w:val="28"/>
        </w:rPr>
        <w:t>、《水泥窑协同处置固体废弃物污染控制标准》（G</w:t>
      </w:r>
      <w:r>
        <w:rPr>
          <w:rFonts w:ascii="宋体" w:hAnsi="宋体"/>
          <w:sz w:val="28"/>
          <w:szCs w:val="28"/>
        </w:rPr>
        <w:t>B30485-2013</w:t>
      </w:r>
      <w:r>
        <w:rPr>
          <w:rFonts w:hint="eastAsia" w:ascii="宋体" w:hAnsi="宋体"/>
          <w:sz w:val="28"/>
          <w:szCs w:val="28"/>
        </w:rPr>
        <w:t>）</w:t>
      </w:r>
      <w:r>
        <w:rPr>
          <w:rFonts w:hint="eastAsia" w:ascii="宋体" w:hAnsi="宋体"/>
          <w:sz w:val="28"/>
          <w:szCs w:val="28"/>
          <w:lang w:val="en-US" w:eastAsia="zh-CN"/>
        </w:rPr>
        <w:t>等标准</w:t>
      </w:r>
      <w:r>
        <w:rPr>
          <w:rFonts w:hint="eastAsia" w:ascii="宋体" w:hAnsi="宋体" w:cs="宋体"/>
          <w:sz w:val="28"/>
          <w:szCs w:val="28"/>
        </w:rPr>
        <w:t>执行</w:t>
      </w:r>
      <w:r>
        <w:rPr>
          <w:rFonts w:hint="eastAsia" w:ascii="宋体" w:hAnsi="宋体" w:cs="宋体"/>
          <w:sz w:val="28"/>
          <w:szCs w:val="28"/>
          <w:lang w:eastAsia="zh-CN"/>
        </w:rPr>
        <w:t>，</w:t>
      </w:r>
      <w:r>
        <w:rPr>
          <w:rFonts w:hint="default" w:ascii="Times New Roman" w:hAnsi="Times New Roman" w:cs="Times New Roman"/>
          <w:sz w:val="28"/>
          <w:szCs w:val="28"/>
          <w:lang w:val="en-US" w:eastAsia="zh-CN"/>
        </w:rPr>
        <w:t>委托河南省科龙环境工程有限公司进行自行监测，</w:t>
      </w:r>
      <w:r>
        <w:rPr>
          <w:rFonts w:hint="eastAsia" w:cs="Times New Roman"/>
          <w:sz w:val="28"/>
          <w:szCs w:val="28"/>
          <w:lang w:val="en-US" w:eastAsia="zh-CN"/>
        </w:rPr>
        <w:t>根据</w:t>
      </w:r>
      <w:r>
        <w:rPr>
          <w:rFonts w:hint="default" w:ascii="Times New Roman" w:hAnsi="Times New Roman" w:cs="Times New Roman"/>
          <w:sz w:val="28"/>
          <w:szCs w:val="28"/>
          <w:lang w:val="en-US" w:eastAsia="zh-CN"/>
        </w:rPr>
        <w:t>各环境要素影响评价范围制定自行监测方案，</w:t>
      </w:r>
      <w:r>
        <w:rPr>
          <w:rFonts w:hint="eastAsia" w:cs="Times New Roman"/>
          <w:sz w:val="28"/>
          <w:szCs w:val="28"/>
          <w:lang w:val="en-US" w:eastAsia="zh-CN"/>
        </w:rPr>
        <w:t>各项</w:t>
      </w:r>
      <w:r>
        <w:rPr>
          <w:rFonts w:hint="default" w:ascii="Times New Roman" w:hAnsi="Times New Roman" w:cs="Times New Roman"/>
          <w:sz w:val="28"/>
          <w:szCs w:val="28"/>
          <w:lang w:val="en-US" w:eastAsia="zh-CN"/>
        </w:rPr>
        <w:t>监测污染物达标排放</w:t>
      </w:r>
      <w:r>
        <w:rPr>
          <w:rFonts w:hint="eastAsia" w:cs="Times New Roman"/>
          <w:sz w:val="28"/>
          <w:szCs w:val="28"/>
          <w:lang w:val="en-US" w:eastAsia="zh-CN"/>
        </w:rPr>
        <w:t>。</w:t>
      </w:r>
    </w:p>
    <w:p>
      <w:pPr>
        <w:ind w:firstLine="560" w:firstLineChars="200"/>
        <w:rPr>
          <w:rFonts w:hint="default" w:ascii="宋体" w:hAnsi="宋体" w:cs="宋体"/>
          <w:b w:val="0"/>
          <w:bCs w:val="0"/>
          <w:sz w:val="28"/>
          <w:szCs w:val="28"/>
          <w:lang w:val="en-US" w:eastAsia="zh-CN"/>
        </w:rPr>
      </w:pPr>
      <w:r>
        <w:rPr>
          <w:rFonts w:hint="eastAsia" w:ascii="宋体" w:hAnsi="宋体" w:eastAsia="宋体" w:cs="宋体"/>
          <w:b w:val="0"/>
          <w:bCs w:val="0"/>
          <w:sz w:val="28"/>
          <w:szCs w:val="28"/>
          <w:lang w:val="en-US" w:eastAsia="zh-CN"/>
        </w:rPr>
        <w:t>排出的废气需进入篦冷机焚烧系统，在窑炉</w:t>
      </w:r>
      <w:r>
        <w:rPr>
          <w:rFonts w:hint="eastAsia" w:ascii="宋体" w:hAnsi="宋体" w:cs="宋体"/>
          <w:b w:val="0"/>
          <w:bCs w:val="0"/>
          <w:sz w:val="28"/>
          <w:szCs w:val="28"/>
          <w:lang w:val="en-US" w:eastAsia="zh-CN"/>
        </w:rPr>
        <w:t>停窑活</w:t>
      </w:r>
      <w:r>
        <w:rPr>
          <w:rFonts w:hint="eastAsia" w:ascii="宋体" w:hAnsi="宋体" w:eastAsia="宋体" w:cs="宋体"/>
          <w:b w:val="0"/>
          <w:bCs w:val="0"/>
          <w:sz w:val="28"/>
          <w:szCs w:val="28"/>
          <w:lang w:val="en-US" w:eastAsia="zh-CN"/>
        </w:rPr>
        <w:t>检修期间通过备用活性炭设备进行吸附处理，活性炭定期更换</w:t>
      </w:r>
      <w:r>
        <w:rPr>
          <w:rFonts w:hint="eastAsia" w:ascii="宋体" w:hAnsi="宋体" w:cs="宋体"/>
          <w:b w:val="0"/>
          <w:bCs w:val="0"/>
          <w:sz w:val="28"/>
          <w:szCs w:val="28"/>
          <w:lang w:val="en-US" w:eastAsia="zh-CN"/>
        </w:rPr>
        <w:t>，未达到一定的效果，我公司将在水泥窑停窑期间进行整改，深度处理方式暂选择RTO（蓄热式热力氧化），其优势为：（1）对绝大部分有机废气均可适应，且处理效率可高达99%；（2）可实现稳定的达标排放，停留时间设计2S，氧化温度设定900℃。预计2022年4月完成整改。</w:t>
      </w:r>
    </w:p>
    <w:p>
      <w:pPr>
        <w:pStyle w:val="6"/>
        <w:adjustRightInd w:val="0"/>
        <w:snapToGrid w:val="0"/>
        <w:spacing w:before="78" w:beforeLines="25" w:after="0" w:line="440" w:lineRule="exac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四、</w:t>
      </w:r>
      <w:r>
        <w:rPr>
          <w:rFonts w:hint="default" w:ascii="Times New Roman" w:hAnsi="Times New Roman" w:cs="Times New Roman"/>
          <w:b w:val="0"/>
          <w:bCs w:val="0"/>
          <w:lang w:val="en-US" w:eastAsia="zh-CN"/>
        </w:rPr>
        <w:t>技术水平和运营管理水平等其他情况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巴塞尔公约》中提到水泥生产过程中危险废物的协同处置方式已被认为是对环境无害的处理方式，即“最佳可行技术”。水泥窑协同处置技术在欧美、日本等发达国家已经有40多年的历史，在我国水泥行业同处置危废项目属于国家政有鼓励、规范有序的高速发展期。</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处理温度高。气体可以达到1800</w:t>
      </w:r>
      <w:r>
        <w:rPr>
          <w:rFonts w:hint="eastAsia" w:ascii="宋体" w:hAnsi="宋体" w:eastAsia="宋体" w:cs="宋体"/>
          <w:b w:val="0"/>
          <w:bCs w:val="0"/>
          <w:sz w:val="28"/>
          <w:szCs w:val="28"/>
          <w:lang w:val="en-US" w:eastAsia="zh-CN"/>
        </w:rPr>
        <w:t>℃</w:t>
      </w:r>
      <w:r>
        <w:rPr>
          <w:rFonts w:hint="eastAsia" w:ascii="Times New Roman" w:hAnsi="Times New Roman" w:cs="Times New Roman"/>
          <w:b w:val="0"/>
          <w:bCs w:val="0"/>
          <w:sz w:val="28"/>
          <w:szCs w:val="28"/>
          <w:lang w:val="en-US" w:eastAsia="zh-CN"/>
        </w:rPr>
        <w:t>以上，物料温度1450</w:t>
      </w:r>
      <w:r>
        <w:rPr>
          <w:rFonts w:hint="eastAsia" w:ascii="宋体" w:hAnsi="宋体" w:eastAsia="宋体" w:cs="宋体"/>
          <w:b w:val="0"/>
          <w:bCs w:val="0"/>
          <w:sz w:val="28"/>
          <w:szCs w:val="28"/>
          <w:lang w:val="en-US" w:eastAsia="zh-CN"/>
        </w:rPr>
        <w:t>℃</w:t>
      </w:r>
      <w:r>
        <w:rPr>
          <w:rFonts w:hint="eastAsia" w:ascii="Times New Roman" w:hAnsi="Times New Roman" w:cs="Times New Roman"/>
          <w:b w:val="0"/>
          <w:bCs w:val="0"/>
          <w:sz w:val="28"/>
          <w:szCs w:val="28"/>
          <w:lang w:val="en-US" w:eastAsia="zh-CN"/>
        </w:rPr>
        <w:t>，主要有机物的有害成分焚毁率可达99.999%以上，即使二噁英也能被完全分解。</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焚烧空间大。均匀稳定的焚烧气氛。</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焚烧停留时间长。1100</w:t>
      </w:r>
      <w:r>
        <w:rPr>
          <w:rFonts w:hint="eastAsia" w:ascii="宋体" w:hAnsi="宋体" w:eastAsia="宋体" w:cs="宋体"/>
          <w:b w:val="0"/>
          <w:bCs w:val="0"/>
          <w:sz w:val="28"/>
          <w:szCs w:val="28"/>
          <w:lang w:val="en-US" w:eastAsia="zh-CN"/>
        </w:rPr>
        <w:t>℃</w:t>
      </w:r>
      <w:r>
        <w:rPr>
          <w:rFonts w:hint="eastAsia" w:ascii="Times New Roman" w:hAnsi="Times New Roman" w:cs="Times New Roman"/>
          <w:b w:val="0"/>
          <w:bCs w:val="0"/>
          <w:sz w:val="28"/>
          <w:szCs w:val="28"/>
          <w:lang w:val="en-US" w:eastAsia="zh-CN"/>
        </w:rPr>
        <w:t>高温大于20分钟。</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0" w:firstLineChars="200"/>
        <w:textAlignment w:val="auto"/>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处理规模大。处置规模占投料量的5%左右。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5、碱性气氛。吸收氯元素。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6、固化金属元素在硅酸盐矿物中。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7、负压操作状态运转。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8、焚烧过程有吸硫作用，降低污染物综合排放量。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9、有效利用水泥厂已批复用地的有限空间，原则不新征占地。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10、业务覆盖河南省全境。</w:t>
      </w:r>
    </w:p>
    <w:p>
      <w:pPr>
        <w:pStyle w:val="2"/>
        <w:ind w:firstLine="560" w:firstLineChars="200"/>
        <w:rPr>
          <w:rFonts w:hint="eastAsia" w:ascii="Times New Roman" w:hAnsi="Times New Roman"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宁波诺客环境科技有限公司（简称诺客环境）是一家集投资、设计、建设及运营为一体的，以水泥窑协同处置危险废弃物、污染土、飞灰、污泥处理为主的，其他无害化、资源化为辅的危废一站式服务提供商</w:t>
      </w:r>
      <w:r>
        <w:rPr>
          <w:rFonts w:hint="eastAsia" w:ascii="Times New Roman" w:hAnsi="Times New Roman" w:cs="Times New Roman"/>
          <w:b w:val="0"/>
          <w:bCs w:val="0"/>
          <w:kern w:val="2"/>
          <w:sz w:val="28"/>
          <w:szCs w:val="28"/>
          <w:lang w:val="en-US" w:eastAsia="zh-CN" w:bidi="ar-SA"/>
        </w:rPr>
        <w:t>。</w:t>
      </w:r>
    </w:p>
    <w:p>
      <w:pPr>
        <w:pStyle w:val="2"/>
        <w:ind w:firstLine="560" w:firstLineChars="200"/>
        <w:rPr>
          <w:rFonts w:hint="eastAsia" w:ascii="Times New Roman" w:hAnsi="Times New Roman" w:cs="Times New Roman"/>
          <w:b w:val="0"/>
          <w:bCs w:val="0"/>
          <w:kern w:val="2"/>
          <w:sz w:val="28"/>
          <w:szCs w:val="28"/>
          <w:lang w:val="en-US" w:eastAsia="zh-CN" w:bidi="ar-SA"/>
        </w:rPr>
      </w:pPr>
      <w:r>
        <w:rPr>
          <w:rFonts w:hint="eastAsia" w:ascii="Times New Roman" w:hAnsi="Times New Roman" w:cs="Times New Roman"/>
          <w:b w:val="0"/>
          <w:bCs w:val="0"/>
          <w:kern w:val="2"/>
          <w:sz w:val="28"/>
          <w:szCs w:val="28"/>
          <w:lang w:val="en-US" w:eastAsia="zh-CN" w:bidi="ar-SA"/>
        </w:rPr>
        <w:t>诺客环境依托经验丰富的管理团队和强大的技术优势，以第三方投资建设运营为商业模式，有效降低水泥企业投资和运营风险，获得了众多大型水泥集团的认可。在短短一年时间里形成近150万吨/年处置能力的储备项目池。</w:t>
      </w:r>
    </w:p>
    <w:p>
      <w:pPr>
        <w:pStyle w:val="2"/>
        <w:ind w:firstLine="560" w:firstLineChars="200"/>
        <w:rPr>
          <w:rFonts w:hint="default"/>
          <w:lang w:val="en-US" w:eastAsia="zh-CN"/>
        </w:rPr>
      </w:pPr>
      <w:r>
        <w:rPr>
          <w:rFonts w:hint="eastAsia" w:ascii="Times New Roman" w:hAnsi="Times New Roman" w:cs="Times New Roman"/>
          <w:b w:val="0"/>
          <w:bCs w:val="0"/>
          <w:kern w:val="2"/>
          <w:sz w:val="28"/>
          <w:szCs w:val="28"/>
          <w:lang w:val="en-US" w:eastAsia="zh-CN" w:bidi="ar-SA"/>
        </w:rPr>
        <w:t>河南富泉环境科技有限公司是诺客环境的全资子公司，</w:t>
      </w:r>
      <w:r>
        <w:rPr>
          <w:rFonts w:hint="default" w:ascii="Times New Roman" w:hAnsi="Times New Roman" w:cs="Times New Roman"/>
          <w:b w:val="0"/>
          <w:bCs w:val="0"/>
          <w:kern w:val="2"/>
          <w:sz w:val="28"/>
          <w:szCs w:val="28"/>
          <w:lang w:val="en-US" w:eastAsia="zh-CN" w:bidi="ar-SA"/>
        </w:rPr>
        <w:t>河南富泉环境科技有限公司成立于2017年1月，公司位于禹州市无梁镇井</w:t>
      </w:r>
      <w:r>
        <w:rPr>
          <w:rFonts w:hint="default" w:ascii="Times New Roman" w:hAnsi="Times New Roman" w:cs="Times New Roman"/>
          <w:b w:val="0"/>
          <w:bCs w:val="0"/>
          <w:sz w:val="28"/>
          <w:szCs w:val="28"/>
          <w:lang w:val="en-US" w:eastAsia="zh-CN"/>
        </w:rPr>
        <w:t>王村北，注册资金2000万元，主要从事水泥窑协同处置城市及产业废弃物的高科技环保企业，主要在水泥窑协同处置危险废弃物、污染土等方面开展业务。</w:t>
      </w:r>
    </w:p>
    <w:p>
      <w:pPr>
        <w:pStyle w:val="2"/>
        <w:ind w:firstLine="560" w:firstLineChars="200"/>
        <w:rPr>
          <w:rFonts w:hint="default"/>
          <w:sz w:val="28"/>
          <w:szCs w:val="28"/>
          <w:lang w:val="en-US" w:eastAsia="zh-CN"/>
        </w:rPr>
      </w:pPr>
      <w:r>
        <w:rPr>
          <w:rFonts w:hint="default"/>
          <w:sz w:val="28"/>
          <w:szCs w:val="28"/>
          <w:lang w:val="en-US" w:eastAsia="zh-CN"/>
        </w:rPr>
        <w:t>本公司生产工艺主要从物理形态区分为固态、半固态、液态。①固态危险废物处置系统工艺流程：经过破碎预处理的固体废物打包运至窑尾后，用叉车运至密闭厂房内,装入2立方米的提升篮，由提升装置将固废投入接料仓中，物料经过插板阀到达电子皮带秤，根据回转窑运行情况调节皮带秤速度，从而控制固体废物入窑速度，完成固体废物处置。②半固态危险废物处置系统包括:半固态废物处理后卸入接收仓内。接收仓设置搅拌桨，防止半固态危险废物成团，同时可以起到搅拌均化的作用，直接利用污泥泵送进入水泥窑系统处置。在整个半固态危险废物预处理厂房设置外排通风系统，废气在风机的作用下，送往窑尾进行高温处理。③液态危险废物处置系统工艺流程：本系统在运行过程中不产生废液，系统泄漏及场地冲洗废水通过集液池收集，收集的废液除杂后通过排污泵返回废液灌。废液厂房的废气通过管道收集后入窑焚烧处理。</w:t>
      </w: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ind w:firstLine="560" w:firstLineChars="200"/>
        <w:jc w:val="right"/>
        <w:rPr>
          <w:rFonts w:hint="default"/>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419DE7"/>
    <w:multiLevelType w:val="singleLevel"/>
    <w:tmpl w:val="46419DE7"/>
    <w:lvl w:ilvl="0" w:tentative="0">
      <w:start w:val="1"/>
      <w:numFmt w:val="decimal"/>
      <w:suff w:val="nothing"/>
      <w:lvlText w:val="%1、"/>
      <w:lvlJc w:val="left"/>
    </w:lvl>
  </w:abstractNum>
  <w:abstractNum w:abstractNumId="1">
    <w:nsid w:val="7E9209FA"/>
    <w:multiLevelType w:val="multilevel"/>
    <w:tmpl w:val="7E9209FA"/>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color w:val="auto"/>
      </w:rPr>
    </w:lvl>
    <w:lvl w:ilvl="2" w:tentative="0">
      <w:start w:val="1"/>
      <w:numFmt w:val="decimal"/>
      <w:pStyle w:val="5"/>
      <w:lvlText w:val="%1.%2.%3"/>
      <w:lvlJc w:val="left"/>
      <w:pPr>
        <w:tabs>
          <w:tab w:val="left" w:pos="720"/>
        </w:tabs>
        <w:ind w:left="720" w:hanging="720"/>
      </w:pPr>
      <w:rPr>
        <w:rFonts w:hint="eastAsia"/>
        <w:color w:val="auto"/>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43344"/>
    <w:rsid w:val="04DF5F2E"/>
    <w:rsid w:val="05971D90"/>
    <w:rsid w:val="0ACB4F8A"/>
    <w:rsid w:val="0C3C3C66"/>
    <w:rsid w:val="0F6634D4"/>
    <w:rsid w:val="12015736"/>
    <w:rsid w:val="12C624DB"/>
    <w:rsid w:val="162E2871"/>
    <w:rsid w:val="162E6DBF"/>
    <w:rsid w:val="1E5906A7"/>
    <w:rsid w:val="231567B0"/>
    <w:rsid w:val="24066BDB"/>
    <w:rsid w:val="24B623B0"/>
    <w:rsid w:val="261750D0"/>
    <w:rsid w:val="26720558"/>
    <w:rsid w:val="29A21154"/>
    <w:rsid w:val="2B5F6906"/>
    <w:rsid w:val="30711881"/>
    <w:rsid w:val="363D46DF"/>
    <w:rsid w:val="386E3FD5"/>
    <w:rsid w:val="3EBA4D46"/>
    <w:rsid w:val="41E9571B"/>
    <w:rsid w:val="43452E25"/>
    <w:rsid w:val="435B43F6"/>
    <w:rsid w:val="470152B5"/>
    <w:rsid w:val="48FD7CFE"/>
    <w:rsid w:val="49E52C6C"/>
    <w:rsid w:val="51D81CC4"/>
    <w:rsid w:val="594E0951"/>
    <w:rsid w:val="5F3202A9"/>
    <w:rsid w:val="63CD67F3"/>
    <w:rsid w:val="659A0956"/>
    <w:rsid w:val="696F20FA"/>
    <w:rsid w:val="7AA240DD"/>
    <w:rsid w:val="7B943344"/>
    <w:rsid w:val="7C9E6B26"/>
    <w:rsid w:val="7E5F2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adjustRightInd w:val="0"/>
      <w:snapToGrid w:val="0"/>
      <w:spacing w:beforeLines="50" w:afterLines="50"/>
      <w:ind w:left="3409" w:hanging="432"/>
      <w:jc w:val="center"/>
      <w:outlineLvl w:val="0"/>
    </w:pPr>
    <w:rPr>
      <w:rFonts w:eastAsia="黑体"/>
      <w:bCs/>
      <w:kern w:val="44"/>
      <w:sz w:val="36"/>
      <w:szCs w:val="44"/>
    </w:rPr>
  </w:style>
  <w:style w:type="paragraph" w:styleId="4">
    <w:name w:val="heading 2"/>
    <w:basedOn w:val="1"/>
    <w:next w:val="1"/>
    <w:unhideWhenUsed/>
    <w:qFormat/>
    <w:uiPriority w:val="0"/>
    <w:pPr>
      <w:keepNext/>
      <w:keepLines/>
      <w:spacing w:beforeAutospacing="0" w:afterAutospacing="0" w:line="240" w:lineRule="auto"/>
      <w:ind w:firstLine="210" w:firstLineChars="100"/>
      <w:outlineLvl w:val="1"/>
    </w:pPr>
    <w:rPr>
      <w:rFonts w:ascii="Arial" w:hAnsi="Arial" w:eastAsia="黑体"/>
      <w:b/>
      <w:sz w:val="24"/>
    </w:rPr>
  </w:style>
  <w:style w:type="paragraph" w:styleId="5">
    <w:name w:val="heading 3"/>
    <w:basedOn w:val="1"/>
    <w:next w:val="1"/>
    <w:qFormat/>
    <w:uiPriority w:val="0"/>
    <w:pPr>
      <w:numPr>
        <w:ilvl w:val="2"/>
        <w:numId w:val="1"/>
      </w:numPr>
      <w:adjustRightInd w:val="0"/>
      <w:snapToGrid w:val="0"/>
      <w:spacing w:line="440" w:lineRule="exact"/>
      <w:outlineLvl w:val="2"/>
    </w:pPr>
    <w:rPr>
      <w:rFonts w:hAnsi="黑体" w:eastAsia="黑体"/>
      <w:kern w:val="0"/>
      <w:sz w:val="24"/>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Autospacing="0"/>
    </w:pPr>
  </w:style>
  <w:style w:type="paragraph" w:customStyle="1" w:styleId="9">
    <w:name w:val="报告正文"/>
    <w:basedOn w:val="1"/>
    <w:next w:val="1"/>
    <w:semiHidden/>
    <w:qFormat/>
    <w:uiPriority w:val="0"/>
    <w:pPr>
      <w:spacing w:line="360" w:lineRule="auto"/>
      <w:ind w:firstLine="200" w:firstLineChars="200"/>
    </w:pPr>
    <w:rPr>
      <w:sz w:val="24"/>
    </w:rPr>
  </w:style>
  <w:style w:type="paragraph" w:customStyle="1" w:styleId="10">
    <w:name w:val="正文（首行缩进2字）"/>
    <w:basedOn w:val="1"/>
    <w:qFormat/>
    <w:uiPriority w:val="0"/>
    <w:pPr>
      <w:adjustRightInd w:val="0"/>
      <w:snapToGrid w:val="0"/>
      <w:spacing w:line="360" w:lineRule="auto"/>
      <w:ind w:firstLine="521" w:firstLineChars="200"/>
      <w:jc w:val="left"/>
    </w:pPr>
    <w:rPr>
      <w:rFonts w:ascii="Times New Roman" w:hAnsi="Times New Roman"/>
      <w:bCs/>
      <w:sz w:val="28"/>
      <w:szCs w:val="24"/>
    </w:rPr>
  </w:style>
  <w:style w:type="paragraph" w:customStyle="1" w:styleId="11">
    <w:name w:val="表头"/>
    <w:basedOn w:val="1"/>
    <w:uiPriority w:val="0"/>
    <w:pPr>
      <w:adjustRightInd w:val="0"/>
      <w:snapToGrid w:val="0"/>
      <w:spacing w:line="440" w:lineRule="exact"/>
      <w:ind w:firstLine="200"/>
      <w:jc w:val="center"/>
    </w:pPr>
    <w:rPr>
      <w:rFonts w:hAnsi="黑体" w:eastAsia="黑体"/>
      <w:spacing w:val="4"/>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2021-12-01T06:56:00Z</dcterms:created>
  <dc:creator>联想</dc:creator>
  <cp:lastModifiedBy>联想</cp:lastModifiedBy>
  <dcterms:modified xsi:type="dcterms:W3CDTF">2021-12-09T00:56:01Z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B1714C9649F54E998999E278B6B3B5A4</vt:lpwstr>
  </property>
</Properties>
</file>